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54" w:rsidRPr="005C4754" w:rsidRDefault="005C4754" w:rsidP="005C4754">
      <w:pPr>
        <w:rPr>
          <w:lang w:eastAsia="en-US"/>
        </w:rPr>
      </w:pPr>
    </w:p>
    <w:p w:rsidR="005C4754" w:rsidRPr="005C4754" w:rsidRDefault="005C4754" w:rsidP="005C4754">
      <w:pPr>
        <w:rPr>
          <w:lang w:eastAsia="en-US"/>
        </w:rPr>
      </w:pPr>
    </w:p>
    <w:p w:rsidR="005C4754" w:rsidRDefault="005C4754" w:rsidP="005C4754">
      <w:pPr>
        <w:pStyle w:val="Nzev"/>
        <w:pBdr>
          <w:bottom w:val="none" w:sz="0" w:space="0" w:color="auto"/>
        </w:pBdr>
        <w:contextualSpacing w:val="0"/>
        <w:jc w:val="center"/>
        <w:rPr>
          <w:lang w:eastAsia="en-US"/>
        </w:rPr>
      </w:pPr>
      <w:bookmarkStart w:id="0" w:name="_Toc386529541"/>
      <w:r>
        <w:rPr>
          <w:lang w:eastAsia="en-US"/>
        </w:rPr>
        <w:t>Lékařská fakulta v Plzni</w:t>
      </w:r>
      <w:bookmarkEnd w:id="0"/>
    </w:p>
    <w:p w:rsidR="005C4754" w:rsidRDefault="005C4754" w:rsidP="005C4754">
      <w:pPr>
        <w:pStyle w:val="Nzev"/>
        <w:pBdr>
          <w:bottom w:val="none" w:sz="0" w:space="0" w:color="auto"/>
        </w:pBdr>
        <w:contextualSpacing w:val="0"/>
        <w:jc w:val="center"/>
        <w:rPr>
          <w:lang w:eastAsia="en-US"/>
        </w:rPr>
      </w:pPr>
    </w:p>
    <w:p w:rsidR="005C4754" w:rsidRDefault="005C4754" w:rsidP="005C4754">
      <w:pPr>
        <w:pStyle w:val="Nzev"/>
        <w:pBdr>
          <w:bottom w:val="none" w:sz="0" w:space="0" w:color="auto"/>
        </w:pBdr>
        <w:contextualSpacing w:val="0"/>
        <w:jc w:val="center"/>
        <w:rPr>
          <w:lang w:eastAsia="en-US"/>
        </w:rPr>
      </w:pPr>
      <w:bookmarkStart w:id="1" w:name="_Toc386529542"/>
      <w:r w:rsidRPr="000C7187">
        <w:rPr>
          <w:lang w:eastAsia="en-US"/>
        </w:rPr>
        <w:t>Záření, radiace</w:t>
      </w:r>
      <w:r>
        <w:rPr>
          <w:lang w:eastAsia="en-US"/>
        </w:rPr>
        <w:t xml:space="preserve"> a hluk</w:t>
      </w:r>
      <w:bookmarkEnd w:id="1"/>
    </w:p>
    <w:p w:rsidR="005C4754" w:rsidRPr="00530574" w:rsidRDefault="005C4754" w:rsidP="00E0383B">
      <w:pPr>
        <w:pStyle w:val="Nadpis2"/>
        <w:jc w:val="center"/>
        <w:rPr>
          <w:lang w:eastAsia="en-US"/>
        </w:rPr>
      </w:pPr>
      <w:r w:rsidRPr="00530574">
        <w:rPr>
          <w:lang w:eastAsia="en-US"/>
        </w:rPr>
        <w:t>Karel Novák</w:t>
      </w:r>
    </w:p>
    <w:p w:rsidR="005C4754" w:rsidRPr="00530574" w:rsidRDefault="005C4754" w:rsidP="005C4754">
      <w:pPr>
        <w:jc w:val="center"/>
        <w:rPr>
          <w:rFonts w:asciiTheme="majorHAnsi" w:eastAsiaTheme="majorEastAsia" w:hAnsiTheme="majorHAnsi" w:cstheme="majorBidi"/>
          <w:bCs/>
          <w:color w:val="365F91" w:themeColor="accent1" w:themeShade="BF"/>
          <w:sz w:val="40"/>
          <w:szCs w:val="40"/>
          <w:lang w:eastAsia="en-US"/>
        </w:rPr>
      </w:pPr>
      <w:r w:rsidRPr="00530574">
        <w:rPr>
          <w:rFonts w:asciiTheme="majorHAnsi" w:eastAsiaTheme="majorEastAsia" w:hAnsiTheme="majorHAnsi" w:cstheme="majorBidi"/>
          <w:bCs/>
          <w:color w:val="365F91" w:themeColor="accent1" w:themeShade="BF"/>
          <w:sz w:val="40"/>
          <w:szCs w:val="40"/>
          <w:lang w:eastAsia="en-US"/>
        </w:rPr>
        <w:t>Biofyzikální ústav</w:t>
      </w:r>
    </w:p>
    <w:p w:rsidR="005C4754" w:rsidRDefault="005C4754" w:rsidP="005C4754">
      <w:pPr>
        <w:jc w:val="center"/>
        <w:rPr>
          <w:rFonts w:asciiTheme="majorHAnsi" w:eastAsiaTheme="majorEastAsia" w:hAnsiTheme="majorHAnsi" w:cstheme="majorBidi"/>
          <w:bCs/>
          <w:color w:val="365F91" w:themeColor="accent1" w:themeShade="BF"/>
          <w:sz w:val="36"/>
          <w:szCs w:val="36"/>
          <w:lang w:eastAsia="en-US"/>
        </w:rPr>
      </w:pPr>
    </w:p>
    <w:p w:rsidR="005C4754" w:rsidRDefault="005C4754" w:rsidP="00BD0A72">
      <w:pPr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en-US"/>
        </w:rPr>
      </w:pPr>
      <w:r>
        <w:rPr>
          <w:rFonts w:asciiTheme="majorHAnsi" w:eastAsiaTheme="majorEastAsia" w:hAnsiTheme="majorHAnsi" w:cstheme="majorBidi"/>
          <w:bCs/>
          <w:noProof/>
          <w:color w:val="365F91" w:themeColor="accent1" w:themeShade="BF"/>
          <w:sz w:val="36"/>
          <w:szCs w:val="36"/>
        </w:rPr>
        <w:drawing>
          <wp:inline distT="0" distB="0" distL="0" distR="0" wp14:anchorId="05789D7A" wp14:editId="7F3E1221">
            <wp:extent cx="3048000" cy="3312497"/>
            <wp:effectExtent l="57150" t="38100" r="57150" b="11074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dce 1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33000"/>
                              </a14:imgEffect>
                              <a14:imgEffect>
                                <a14:brightnessContrast bright="-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31249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38100">
                      <a:solidFill>
                        <a:srgbClr val="996600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lang w:eastAsia="en-US"/>
        </w:rPr>
        <w:br w:type="page"/>
      </w:r>
    </w:p>
    <w:p w:rsidR="00036F7C" w:rsidRDefault="00036F7C">
      <w:pPr>
        <w:pStyle w:val="Obsah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lastRenderedPageBreak/>
        <w:fldChar w:fldCharType="begin"/>
      </w:r>
      <w:r>
        <w:instrText xml:space="preserve"> TOC \o "1-1" \h \z \u </w:instrText>
      </w:r>
      <w:r>
        <w:fldChar w:fldCharType="separate"/>
      </w:r>
      <w:hyperlink w:anchor="_Toc386529694" w:history="1">
        <w:r w:rsidRPr="00396A3E">
          <w:rPr>
            <w:rStyle w:val="Hypertextovodkaz"/>
            <w:noProof/>
          </w:rPr>
          <w:t>Zá</w:t>
        </w:r>
        <w:r w:rsidRPr="00396A3E">
          <w:rPr>
            <w:rStyle w:val="Hypertextovodkaz"/>
            <w:noProof/>
          </w:rPr>
          <w:t>ř</w:t>
        </w:r>
        <w:r w:rsidRPr="00396A3E">
          <w:rPr>
            <w:rStyle w:val="Hypertextovodkaz"/>
            <w:noProof/>
          </w:rPr>
          <w:t>ení, radiace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_Toc386529694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36F7C" w:rsidRDefault="00036F7C">
      <w:pPr>
        <w:pStyle w:val="Obsah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6529695" w:history="1">
        <w:r w:rsidRPr="00396A3E">
          <w:rPr>
            <w:rStyle w:val="Hypertextovodkaz"/>
            <w:noProof/>
            <w:lang w:eastAsia="en-US"/>
          </w:rPr>
          <w:t>Hluk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_Toc386529695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36F7C" w:rsidRDefault="00036F7C">
      <w:pPr>
        <w:pStyle w:val="Obsah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6529696" w:history="1">
        <w:r w:rsidRPr="00396A3E">
          <w:rPr>
            <w:rStyle w:val="Hypertextovodkaz"/>
            <w:noProof/>
            <w:lang w:eastAsia="en-US"/>
          </w:rPr>
          <w:t>Náklady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_Toc386529696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36F7C" w:rsidRDefault="00036F7C">
      <w:pPr>
        <w:pStyle w:val="Obsah1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6529697" w:history="1">
        <w:r w:rsidRPr="00396A3E">
          <w:rPr>
            <w:rStyle w:val="Hypertextovodkaz"/>
            <w:noProof/>
            <w:lang w:eastAsia="en-US"/>
          </w:rPr>
          <w:t>Přílohy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_Toc386529697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51C83" w:rsidRDefault="00036F7C" w:rsidP="00036F7C">
      <w:pPr>
        <w:pStyle w:val="Obsah1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8"/>
          <w:szCs w:val="28"/>
        </w:rPr>
      </w:pPr>
      <w:r>
        <w:fldChar w:fldCharType="end"/>
      </w:r>
      <w:r w:rsidR="00651C83">
        <w:br w:type="page"/>
      </w:r>
    </w:p>
    <w:p w:rsidR="000C7187" w:rsidRPr="00E0383B" w:rsidRDefault="000C7187" w:rsidP="00E0383B">
      <w:pPr>
        <w:pStyle w:val="Nadpis1"/>
      </w:pPr>
      <w:bookmarkStart w:id="2" w:name="_Toc386529694"/>
      <w:r w:rsidRPr="00E0383B">
        <w:lastRenderedPageBreak/>
        <w:t>Záření, radiace</w:t>
      </w:r>
      <w:bookmarkEnd w:id="2"/>
    </w:p>
    <w:p w:rsidR="000C7187" w:rsidRPr="007F48B6" w:rsidRDefault="000C7187" w:rsidP="000C7187">
      <w:pPr>
        <w:pStyle w:val="Bezmezer"/>
        <w:spacing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0C7187">
        <w:rPr>
          <w:rFonts w:ascii="Arial" w:hAnsi="Arial" w:cs="Arial"/>
          <w:sz w:val="22"/>
          <w:szCs w:val="22"/>
          <w:lang w:eastAsia="en-US"/>
        </w:rPr>
        <w:t>Záření (radiace) se rozděluje do dvou hlavních kategorií: 1. Ionizující záření, kam paří kosmické zář</w:t>
      </w:r>
      <w:r w:rsidRPr="000C7187">
        <w:rPr>
          <w:rFonts w:ascii="Arial" w:hAnsi="Arial" w:cs="Arial"/>
          <w:sz w:val="22"/>
          <w:szCs w:val="22"/>
          <w:lang w:eastAsia="en-US"/>
        </w:rPr>
        <w:t>e</w:t>
      </w:r>
      <w:r w:rsidRPr="000C7187">
        <w:rPr>
          <w:rFonts w:ascii="Arial" w:hAnsi="Arial" w:cs="Arial"/>
          <w:sz w:val="22"/>
          <w:szCs w:val="22"/>
          <w:lang w:eastAsia="en-US"/>
        </w:rPr>
        <w:t>ní, paprsky gama, X a záření z radioaktivních materiálů. 2. Neionizující záření, kam p</w:t>
      </w:r>
      <w:bookmarkStart w:id="3" w:name="_GoBack"/>
      <w:bookmarkEnd w:id="3"/>
      <w:r w:rsidRPr="000C7187">
        <w:rPr>
          <w:rFonts w:ascii="Arial" w:hAnsi="Arial" w:cs="Arial"/>
          <w:sz w:val="22"/>
          <w:szCs w:val="22"/>
          <w:lang w:eastAsia="en-US"/>
        </w:rPr>
        <w:t>atří UV záření, radiofrekvenční pole (mobilní telefony) a elektrická a magnetická pole (zejména okolo vysokonapěť</w:t>
      </w:r>
      <w:r w:rsidRPr="000C7187">
        <w:rPr>
          <w:rFonts w:ascii="Arial" w:hAnsi="Arial" w:cs="Arial"/>
          <w:sz w:val="22"/>
          <w:szCs w:val="22"/>
          <w:lang w:eastAsia="en-US"/>
        </w:rPr>
        <w:t>o</w:t>
      </w:r>
      <w:r w:rsidR="007F48B6">
        <w:rPr>
          <w:rFonts w:ascii="Arial" w:hAnsi="Arial" w:cs="Arial"/>
          <w:sz w:val="22"/>
          <w:szCs w:val="22"/>
          <w:lang w:eastAsia="en-US"/>
        </w:rPr>
        <w:t>vých vedení).</w:t>
      </w:r>
    </w:p>
    <w:p w:rsidR="000C7187" w:rsidRPr="005C4754" w:rsidRDefault="000C7187" w:rsidP="00E0383B">
      <w:pPr>
        <w:pStyle w:val="Nadpis2"/>
        <w:rPr>
          <w:lang w:eastAsia="en-US"/>
        </w:rPr>
      </w:pPr>
      <w:r w:rsidRPr="005C4754">
        <w:rPr>
          <w:lang w:eastAsia="en-US"/>
        </w:rPr>
        <w:t>Ionizující záření</w:t>
      </w:r>
    </w:p>
    <w:p w:rsidR="000C7187" w:rsidRPr="000C7187" w:rsidRDefault="00BD0A72" w:rsidP="000C7187">
      <w:pPr>
        <w:pStyle w:val="Bezmezer"/>
        <w:spacing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7DECF1" wp14:editId="0CF79F50">
                <wp:simplePos x="0" y="0"/>
                <wp:positionH relativeFrom="column">
                  <wp:posOffset>1998345</wp:posOffset>
                </wp:positionH>
                <wp:positionV relativeFrom="paragraph">
                  <wp:posOffset>1958975</wp:posOffset>
                </wp:positionV>
                <wp:extent cx="2155190" cy="171450"/>
                <wp:effectExtent l="0" t="0" r="0" b="0"/>
                <wp:wrapSquare wrapText="bothSides"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190" cy="171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0A72" w:rsidRPr="00BD0A72" w:rsidRDefault="00BD0A72" w:rsidP="00BD0A72">
                            <w:pPr>
                              <w:pStyle w:val="Titulek"/>
                              <w:jc w:val="center"/>
                              <w:rPr>
                                <w:rFonts w:ascii="Arial" w:hAnsi="Arial" w:cs="Arial"/>
                                <w:i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D0A72">
                              <w:rPr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Obrázek </w:t>
                            </w:r>
                            <w:r w:rsidRPr="00BD0A72">
                              <w:rPr>
                                <w:b w:val="0"/>
                                <w:i/>
                                <w:color w:val="auto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D0A72">
                              <w:rPr>
                                <w:i/>
                                <w:color w:val="auto"/>
                                <w:sz w:val="20"/>
                                <w:szCs w:val="20"/>
                              </w:rPr>
                              <w:instrText xml:space="preserve"> SEQ Obrázek \* ARABIC </w:instrText>
                            </w:r>
                            <w:r w:rsidRPr="00BD0A72">
                              <w:rPr>
                                <w:b w:val="0"/>
                                <w:i/>
                                <w:color w:val="auto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BD0A72">
                              <w:rPr>
                                <w:i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>1</w:t>
                            </w:r>
                            <w:r w:rsidRPr="00BD0A72">
                              <w:rPr>
                                <w:b w:val="0"/>
                                <w:i/>
                                <w:color w:val="auto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D0A72">
                              <w:rPr>
                                <w:i/>
                                <w:color w:val="auto"/>
                                <w:sz w:val="20"/>
                                <w:szCs w:val="20"/>
                              </w:rPr>
                              <w:t xml:space="preserve"> - šipka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157.35pt;margin-top:154.25pt;width:169.7pt;height:1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" stroked="f">
                <v:textbox inset="0,0,0,0">
                  <w:txbxContent>
                    <w:p w:rsidR="00BD0A72" w:rsidRPr="00BD0A72" w:rsidRDefault="00BD0A72" w:rsidP="00BD0A72">
                      <w:pPr>
                        <w:pStyle w:val="Titulek"/>
                        <w:jc w:val="center"/>
                        <w:rPr>
                          <w:rFonts w:ascii="Arial" w:hAnsi="Arial" w:cs="Arial"/>
                          <w:i/>
                          <w:noProof/>
                          <w:color w:val="auto"/>
                          <w:sz w:val="20"/>
                          <w:szCs w:val="20"/>
                        </w:rPr>
                      </w:pPr>
                      <w:r w:rsidRPr="00BD0A72">
                        <w:rPr>
                          <w:i/>
                          <w:color w:val="auto"/>
                          <w:sz w:val="20"/>
                          <w:szCs w:val="20"/>
                        </w:rPr>
                        <w:t xml:space="preserve">Obrázek </w:t>
                      </w:r>
                      <w:r w:rsidRPr="00BD0A72">
                        <w:rPr>
                          <w:b w:val="0"/>
                          <w:i/>
                          <w:color w:val="auto"/>
                          <w:sz w:val="20"/>
                          <w:szCs w:val="20"/>
                        </w:rPr>
                        <w:fldChar w:fldCharType="begin"/>
                      </w:r>
                      <w:r w:rsidRPr="00BD0A72">
                        <w:rPr>
                          <w:i/>
                          <w:color w:val="auto"/>
                          <w:sz w:val="20"/>
                          <w:szCs w:val="20"/>
                        </w:rPr>
                        <w:instrText xml:space="preserve"> SEQ Obrázek \* ARABIC </w:instrText>
                      </w:r>
                      <w:r w:rsidRPr="00BD0A72">
                        <w:rPr>
                          <w:b w:val="0"/>
                          <w:i/>
                          <w:color w:val="auto"/>
                          <w:sz w:val="20"/>
                          <w:szCs w:val="20"/>
                        </w:rPr>
                        <w:fldChar w:fldCharType="separate"/>
                      </w:r>
                      <w:r w:rsidRPr="00BD0A72">
                        <w:rPr>
                          <w:i/>
                          <w:noProof/>
                          <w:color w:val="auto"/>
                          <w:sz w:val="20"/>
                          <w:szCs w:val="20"/>
                        </w:rPr>
                        <w:t>1</w:t>
                      </w:r>
                      <w:r w:rsidRPr="00BD0A72">
                        <w:rPr>
                          <w:b w:val="0"/>
                          <w:i/>
                          <w:color w:val="auto"/>
                          <w:sz w:val="20"/>
                          <w:szCs w:val="20"/>
                        </w:rPr>
                        <w:fldChar w:fldCharType="end"/>
                      </w:r>
                      <w:r w:rsidRPr="00BD0A72">
                        <w:rPr>
                          <w:i/>
                          <w:color w:val="auto"/>
                          <w:sz w:val="20"/>
                          <w:szCs w:val="20"/>
                        </w:rPr>
                        <w:t xml:space="preserve"> - šipka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2A777AA" wp14:editId="3DA65FB1">
            <wp:simplePos x="0" y="0"/>
            <wp:positionH relativeFrom="margin">
              <wp:posOffset>1998345</wp:posOffset>
            </wp:positionH>
            <wp:positionV relativeFrom="margin">
              <wp:posOffset>2773045</wp:posOffset>
            </wp:positionV>
            <wp:extent cx="2047875" cy="1348105"/>
            <wp:effectExtent l="0" t="0" r="9525" b="444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stavení zvuku u nefunkčního captivatu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87" w:rsidRPr="000C7187">
        <w:rPr>
          <w:rFonts w:ascii="Arial" w:hAnsi="Arial" w:cs="Arial"/>
          <w:sz w:val="22"/>
          <w:szCs w:val="22"/>
          <w:lang w:eastAsia="en-US"/>
        </w:rPr>
        <w:t>Všichni lidé jsou po celý život exponováni ionizujícímu záření. V 82 % se jedná o přírodní zdroje vče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t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ně kosmických paprsků, gama záření a přirozenou radioaktivitu uvnitř těla. Asi jedna polovina této přírodní složky pochází z r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a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donu v domech (viz kap. Determ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i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nanty, byt). Radioaktivní o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d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pady a exh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a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lace tvoří méně než 1 % průměrné populační exp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o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zice. Průměrná roční dávka je v ČR 3,3 milisieve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r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tu, z toho asi 60 % je z radonu, 12 % z půdy a ho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r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nin, 10 % z kosmického záření a 8 % ze zdrojů ve zdr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a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votnictví, zejména z rentg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e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nové diagnostiky. Stejných 8 % představují přirozené radi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o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nuklidy přítomné v těle. Ostatní zdroje přisp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í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vají méně než 1 % průměrné roční dávky záření. Zmíněná dávka 3,3 milisievertu je zdravotně zanedbatelná. Objektivně zjistitelné poškození vzniká při 500 milisieve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r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tech. Největší podíl na provedených vyšetřeních v oboru radiologie má konvenční RTG (60 %), mamografická a CT vyšetření po 6 %. Od roku 2005 se podíl CT a m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a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mografických vyšetření trvale zv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y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šuje a podíl vyšetření konve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n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čními RTG klesá. Na 1 obyvatele ČR připadá průměrně 1,3 vyšetření za rok. Data o zdravotních rizicích z expozice nízkým dávkám ioniz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u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jícího záření jsou extrapolována ze studií skupin exponovaných relativně vysokým dávkám radiace, jak tomu bylo u lidí, kteří přežili at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o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mové bombardování v Japonsku nebo u pacientů exponovaných záření v rámci léčení. Soudobé st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u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die u pracovníků se zářením ukazují, že u rizik z malých dávek jde o příspěvek několika % k celkové úmrtnosti na rakovinu. V oblasti malých dávek zvyšování expozice neznamená přímé ohrožení, ale zvýš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e</w:t>
      </w:r>
      <w:r w:rsidR="000C7187" w:rsidRPr="000C7187">
        <w:rPr>
          <w:rFonts w:ascii="Arial" w:hAnsi="Arial" w:cs="Arial"/>
          <w:sz w:val="22"/>
          <w:szCs w:val="22"/>
          <w:lang w:eastAsia="en-US"/>
        </w:rPr>
        <w:t>ní rizika škodlivých účinků.</w:t>
      </w:r>
    </w:p>
    <w:p w:rsidR="000C7187" w:rsidRPr="007F48B6" w:rsidRDefault="000C7187" w:rsidP="00E0383B">
      <w:pPr>
        <w:pStyle w:val="Nadpis2"/>
        <w:rPr>
          <w:lang w:eastAsia="en-US"/>
        </w:rPr>
      </w:pPr>
      <w:r w:rsidRPr="007F48B6">
        <w:rPr>
          <w:lang w:eastAsia="en-US"/>
        </w:rPr>
        <w:t>Neionizující, radiofrekvenční záření</w:t>
      </w:r>
    </w:p>
    <w:p w:rsidR="000C7187" w:rsidRPr="000C7187" w:rsidRDefault="000C7187" w:rsidP="000C7187">
      <w:pPr>
        <w:pStyle w:val="Bezmezer"/>
        <w:spacing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0C7187">
        <w:rPr>
          <w:rFonts w:ascii="Arial" w:hAnsi="Arial" w:cs="Arial"/>
          <w:sz w:val="22"/>
          <w:szCs w:val="22"/>
          <w:lang w:eastAsia="en-US"/>
        </w:rPr>
        <w:t xml:space="preserve">Podstatou záření jsou elektromagnetické vlny, které se šíří rychlostí světla. Jednotkou intenzity je počet voltů na metr (V/m). Např. intenzita v okolí rozhlasového vysílače (vysílá v kmitočtovém pásmu 3 – 300 MHz) je okolo 20 V/m. Zájem veřejnosti o zdravotní účinky, vzrostl v souvislosti s rozvojem telekomunikačních 27 </w:t>
      </w:r>
      <w:r w:rsidR="00E012FE">
        <w:rPr>
          <w:rFonts w:ascii="Arial" w:hAnsi="Arial" w:cs="Arial"/>
          <w:sz w:val="22"/>
          <w:szCs w:val="22"/>
          <w:lang w:eastAsia="en-US"/>
        </w:rPr>
        <w:t>sys</w:t>
      </w:r>
      <w:r w:rsidRPr="000C7187">
        <w:rPr>
          <w:rFonts w:ascii="Arial" w:hAnsi="Arial" w:cs="Arial"/>
          <w:sz w:val="22"/>
          <w:szCs w:val="22"/>
          <w:lang w:eastAsia="en-US"/>
        </w:rPr>
        <w:t xml:space="preserve">témů a mobilních telefonů. Mobilní telefony jsou radiofrekvenční přenašeče signálů, pracující na frekvencích mezi 450 – 2700 MHz s výkonem pouhých 0,1 – 2 watty. Vypnutý přístroj záření nepřenáší. Se vzdáleností od uživatele expozice rychle klesá a ve 30 – 40 cm je zcela minimální (SMS zprávy, internet). Hlavní účinek expozice je ohřev tkání, na které paprsky dopadají, </w:t>
      </w:r>
      <w:r w:rsidRPr="000C7187">
        <w:rPr>
          <w:rFonts w:ascii="Arial" w:hAnsi="Arial" w:cs="Arial"/>
          <w:sz w:val="22"/>
          <w:szCs w:val="22"/>
          <w:lang w:eastAsia="en-US"/>
        </w:rPr>
        <w:lastRenderedPageBreak/>
        <w:t>týká se to však jen kůže hlavy. Zvýšení teploty hlubších tkání např. mozku je neměřitelné. Uskutečnila se řada studií, pokoušejících se nalézt vztah k rakovině, nedospělo se však k žádným konzistentním nálezům. Hodnotnější studie neprokázaly, že by RF pole zvyšovala riziko rakoviny. Jistá malá, citlivá část populace snad v důsledku expozice může pociťovat závrať, bolest hlavy, kožní citlivost a úna</w:t>
      </w:r>
      <w:r w:rsidRPr="000C7187">
        <w:rPr>
          <w:rFonts w:ascii="Arial" w:hAnsi="Arial" w:cs="Arial"/>
          <w:sz w:val="22"/>
          <w:szCs w:val="22"/>
          <w:lang w:eastAsia="en-US"/>
        </w:rPr>
        <w:t>v</w:t>
      </w:r>
      <w:r w:rsidRPr="000C7187">
        <w:rPr>
          <w:rFonts w:ascii="Arial" w:hAnsi="Arial" w:cs="Arial"/>
          <w:sz w:val="22"/>
          <w:szCs w:val="22"/>
          <w:lang w:eastAsia="en-US"/>
        </w:rPr>
        <w:t>nost. Nebylo to však kvantifikováno a může jít o vliv stresu a obav. Prokazatelný vedlejší efekt mobi</w:t>
      </w:r>
      <w:r w:rsidRPr="000C7187">
        <w:rPr>
          <w:rFonts w:ascii="Arial" w:hAnsi="Arial" w:cs="Arial"/>
          <w:sz w:val="22"/>
          <w:szCs w:val="22"/>
          <w:lang w:eastAsia="en-US"/>
        </w:rPr>
        <w:t>l</w:t>
      </w:r>
      <w:r w:rsidRPr="000C7187">
        <w:rPr>
          <w:rFonts w:ascii="Arial" w:hAnsi="Arial" w:cs="Arial"/>
          <w:sz w:val="22"/>
          <w:szCs w:val="22"/>
          <w:lang w:eastAsia="en-US"/>
        </w:rPr>
        <w:t>ních telefonů je zvýšené riziko dopravních úrazů při jejich používání během řízení vozidla.</w:t>
      </w:r>
    </w:p>
    <w:p w:rsidR="000C7187" w:rsidRPr="000C7187" w:rsidRDefault="000C7187" w:rsidP="00E0383B">
      <w:pPr>
        <w:pStyle w:val="Nadpis1"/>
        <w:rPr>
          <w:lang w:eastAsia="en-US"/>
        </w:rPr>
      </w:pPr>
      <w:bookmarkStart w:id="4" w:name="_Toc386529695"/>
      <w:r w:rsidRPr="000C7187">
        <w:rPr>
          <w:lang w:eastAsia="en-US"/>
        </w:rPr>
        <w:t>Hluk</w:t>
      </w:r>
      <w:bookmarkEnd w:id="4"/>
    </w:p>
    <w:p w:rsidR="00E012FE" w:rsidRDefault="000C7187" w:rsidP="000C7187">
      <w:pPr>
        <w:pStyle w:val="Bezmezer"/>
        <w:spacing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0C7187">
        <w:rPr>
          <w:rFonts w:ascii="Arial" w:hAnsi="Arial" w:cs="Arial"/>
          <w:sz w:val="22"/>
          <w:szCs w:val="22"/>
          <w:lang w:eastAsia="en-US"/>
        </w:rPr>
        <w:t>Hluk patří k typickým a závažným škodlivým faktorům životního prostředí vyspělých zemí. Již hladiny venkovního hluku pohybující se v blízkosti u nás platných základních limitů působí na citlivé jedince rušivě. Běžné jsou přitom u nás hladiny nadlimitní. Dnes je hlukem nepříznivě dotčena značná část obyvatelstva ČR, zejména městského. Hlavními zdroji hluku jsou doprava silniční, železniční a lete</w:t>
      </w:r>
      <w:r w:rsidRPr="000C7187">
        <w:rPr>
          <w:rFonts w:ascii="Arial" w:hAnsi="Arial" w:cs="Arial"/>
          <w:sz w:val="22"/>
          <w:szCs w:val="22"/>
          <w:lang w:eastAsia="en-US"/>
        </w:rPr>
        <w:t>c</w:t>
      </w:r>
      <w:r w:rsidRPr="000C7187">
        <w:rPr>
          <w:rFonts w:ascii="Arial" w:hAnsi="Arial" w:cs="Arial"/>
          <w:sz w:val="22"/>
          <w:szCs w:val="22"/>
          <w:lang w:eastAsia="en-US"/>
        </w:rPr>
        <w:t>ká, průmyslové závody, výstavba, veřejné práce (úklid ulic) a hluk ze sousedství (z restaurací, z živé nebo reprodukované hudby, ze sportovních akcí, parkovišť). Zdrojem hluku ve stavbách mohou být ventilační systémy, domácí zařízení a sousedé. Při hodnocení hluku se rozlišuje hluk denní, který ruší aktivity lidí a hluk noční rušící spánek. Hluk způsobuje podráždění a poruchy spánku, překáží dor</w:t>
      </w:r>
      <w:r w:rsidRPr="000C7187">
        <w:rPr>
          <w:rFonts w:ascii="Arial" w:hAnsi="Arial" w:cs="Arial"/>
          <w:sz w:val="22"/>
          <w:szCs w:val="22"/>
          <w:lang w:eastAsia="en-US"/>
        </w:rPr>
        <w:t>o</w:t>
      </w:r>
      <w:r w:rsidRPr="000C7187">
        <w:rPr>
          <w:rFonts w:ascii="Arial" w:hAnsi="Arial" w:cs="Arial"/>
          <w:sz w:val="22"/>
          <w:szCs w:val="22"/>
          <w:lang w:eastAsia="en-US"/>
        </w:rPr>
        <w:t>zumívání, zhoršuje soustředění na práci a výkonnost, ruší odpočinek a rekreaci, působí na sociální chování a zvyšuje riziko ztrát sluchu. Lidé exponovaní vyšším úrovním hluku, zejména v okolí letišť a frekventovaných komunikací si častěji stěžují na bolesti hlavy, častěji utrpí drobné úrazy, častěji už</w:t>
      </w:r>
      <w:r w:rsidRPr="000C7187">
        <w:rPr>
          <w:rFonts w:ascii="Arial" w:hAnsi="Arial" w:cs="Arial"/>
          <w:sz w:val="22"/>
          <w:szCs w:val="22"/>
          <w:lang w:eastAsia="en-US"/>
        </w:rPr>
        <w:t>í</w:t>
      </w:r>
      <w:r w:rsidRPr="000C7187">
        <w:rPr>
          <w:rFonts w:ascii="Arial" w:hAnsi="Arial" w:cs="Arial"/>
          <w:sz w:val="22"/>
          <w:szCs w:val="22"/>
          <w:lang w:eastAsia="en-US"/>
        </w:rPr>
        <w:t>vají uklidňující léky a hypnotika. Hluk zvyšuje riziko hypertenze a dalších kardiovaskulárních onemo</w:t>
      </w:r>
      <w:r w:rsidRPr="000C7187">
        <w:rPr>
          <w:rFonts w:ascii="Arial" w:hAnsi="Arial" w:cs="Arial"/>
          <w:sz w:val="22"/>
          <w:szCs w:val="22"/>
          <w:lang w:eastAsia="en-US"/>
        </w:rPr>
        <w:t>c</w:t>
      </w:r>
      <w:r w:rsidRPr="000C7187">
        <w:rPr>
          <w:rFonts w:ascii="Arial" w:hAnsi="Arial" w:cs="Arial"/>
          <w:sz w:val="22"/>
          <w:szCs w:val="22"/>
          <w:lang w:eastAsia="en-US"/>
        </w:rPr>
        <w:t>nění. K účinkům hluku přispívají emocionálními reakce, plynoucí z rozmrzelosti a rozzlobenosti. Zdr</w:t>
      </w:r>
      <w:r w:rsidRPr="000C7187">
        <w:rPr>
          <w:rFonts w:ascii="Arial" w:hAnsi="Arial" w:cs="Arial"/>
          <w:sz w:val="22"/>
          <w:szCs w:val="22"/>
          <w:lang w:eastAsia="en-US"/>
        </w:rPr>
        <w:t>a</w:t>
      </w:r>
      <w:r w:rsidRPr="000C7187">
        <w:rPr>
          <w:rFonts w:ascii="Arial" w:hAnsi="Arial" w:cs="Arial"/>
          <w:sz w:val="22"/>
          <w:szCs w:val="22"/>
          <w:lang w:eastAsia="en-US"/>
        </w:rPr>
        <w:t>votní vlivy mohou být přímé (akutní) a dlouhodobé, kumulativní. Přípustné hladiny hluku jsou stanoveny v nařízení vlády č. 148/Sb. Je zde stanoveno, že limit pro hluk ve vnitřních prostorách st</w:t>
      </w:r>
      <w:r w:rsidRPr="000C7187">
        <w:rPr>
          <w:rFonts w:ascii="Arial" w:hAnsi="Arial" w:cs="Arial"/>
          <w:sz w:val="22"/>
          <w:szCs w:val="22"/>
          <w:lang w:eastAsia="en-US"/>
        </w:rPr>
        <w:t>a</w:t>
      </w:r>
      <w:r w:rsidRPr="000C7187">
        <w:rPr>
          <w:rFonts w:ascii="Arial" w:hAnsi="Arial" w:cs="Arial"/>
          <w:sz w:val="22"/>
          <w:szCs w:val="22"/>
          <w:lang w:eastAsia="en-US"/>
        </w:rPr>
        <w:t>veb je 40 decibelů (dB) a limit pro hluk ve venkovním chráněném prostoru je 50 dB. Pro tyto základní limity jsou uvedeny korekce: Pro lékařské vyšetřovny je korekce -5 dB, výsledný limit je tedy 35 dB, pro venkovní „chráněný“ prostor lůžkových zdravotnických zařízení je korekce podle charakteru hluku – 5 až + 5 dB a výsledný limit je tedy 35 – 45 dB.</w:t>
      </w:r>
    </w:p>
    <w:p w:rsidR="00E012FE" w:rsidRDefault="00E012FE">
      <w:pPr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br w:type="page"/>
      </w:r>
    </w:p>
    <w:p w:rsidR="00E012FE" w:rsidRDefault="00E012FE" w:rsidP="00E0383B">
      <w:pPr>
        <w:pStyle w:val="Nadpis1"/>
        <w:rPr>
          <w:lang w:eastAsia="en-US"/>
        </w:rPr>
      </w:pPr>
      <w:bookmarkStart w:id="5" w:name="_Toc386529696"/>
      <w:r>
        <w:rPr>
          <w:lang w:eastAsia="en-US"/>
        </w:rPr>
        <w:lastRenderedPageBreak/>
        <w:t>Náklady</w:t>
      </w:r>
      <w:bookmarkEnd w:id="5"/>
    </w:p>
    <w:p w:rsidR="00E012FE" w:rsidRPr="00E012FE" w:rsidRDefault="00E012FE" w:rsidP="00E012FE">
      <w:pPr>
        <w:rPr>
          <w:rFonts w:ascii="Arial" w:hAnsi="Arial" w:cs="Arial"/>
          <w:i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Čas strávený tvorbou materiálu: </w:t>
      </w:r>
      <w:r w:rsidRPr="00E012FE">
        <w:rPr>
          <w:rFonts w:ascii="Arial" w:hAnsi="Arial" w:cs="Arial"/>
          <w:i/>
          <w:sz w:val="22"/>
          <w:szCs w:val="22"/>
          <w:lang w:eastAsia="en-US"/>
        </w:rPr>
        <w:t>8.57:26,5s</w:t>
      </w:r>
    </w:p>
    <w:p w:rsidR="00E012FE" w:rsidRDefault="00E012FE" w:rsidP="00E012FE">
      <w:pPr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Náklady: </w:t>
      </w:r>
      <w:r w:rsidRPr="00E012FE">
        <w:rPr>
          <w:rFonts w:ascii="Arial" w:hAnsi="Arial" w:cs="Arial"/>
          <w:i/>
          <w:sz w:val="22"/>
          <w:szCs w:val="22"/>
          <w:lang w:eastAsia="en-US"/>
        </w:rPr>
        <w:t>Propálená energie a náklady na kafe - Kč 654,50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E012FE" w:rsidRPr="00E0383B" w:rsidRDefault="00E012FE" w:rsidP="00E0383B">
      <w:pPr>
        <w:rPr>
          <w:rFonts w:ascii="Arial" w:hAnsi="Arial" w:cs="Arial"/>
          <w:i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Počet výtisků: </w:t>
      </w:r>
      <w:r w:rsidRPr="00E012FE">
        <w:rPr>
          <w:rFonts w:ascii="Arial" w:hAnsi="Arial" w:cs="Arial"/>
          <w:i/>
          <w:sz w:val="22"/>
          <w:szCs w:val="22"/>
          <w:lang w:eastAsia="en-US"/>
        </w:rPr>
        <w:t>40krát</w:t>
      </w:r>
    </w:p>
    <w:p w:rsidR="00E012FE" w:rsidRDefault="00E012FE" w:rsidP="00E0383B">
      <w:pPr>
        <w:pStyle w:val="Nadpis1"/>
        <w:rPr>
          <w:lang w:eastAsia="en-US"/>
        </w:rPr>
      </w:pPr>
      <w:bookmarkStart w:id="6" w:name="_Toc386529697"/>
      <w:r>
        <w:rPr>
          <w:lang w:eastAsia="en-US"/>
        </w:rPr>
        <w:t>Přílohy</w:t>
      </w:r>
      <w:bookmarkEnd w:id="6"/>
    </w:p>
    <w:p w:rsidR="008602E1" w:rsidRPr="008602E1" w:rsidRDefault="008602E1" w:rsidP="008602E1">
      <w:pPr>
        <w:pStyle w:val="Titulek"/>
        <w:keepNext/>
        <w:jc w:val="center"/>
        <w:rPr>
          <w:rFonts w:ascii="Arial" w:hAnsi="Arial" w:cs="Arial"/>
          <w:i/>
          <w:color w:val="auto"/>
          <w:sz w:val="20"/>
          <w:szCs w:val="20"/>
        </w:rPr>
      </w:pPr>
      <w:r w:rsidRPr="008602E1">
        <w:rPr>
          <w:rFonts w:ascii="Arial" w:hAnsi="Arial" w:cs="Arial"/>
          <w:i/>
          <w:color w:val="auto"/>
          <w:sz w:val="20"/>
          <w:szCs w:val="20"/>
        </w:rPr>
        <w:t xml:space="preserve">Tabulka </w:t>
      </w:r>
      <w:r w:rsidRPr="008602E1">
        <w:rPr>
          <w:rFonts w:ascii="Arial" w:hAnsi="Arial" w:cs="Arial"/>
          <w:i/>
          <w:color w:val="auto"/>
          <w:sz w:val="20"/>
          <w:szCs w:val="20"/>
        </w:rPr>
        <w:fldChar w:fldCharType="begin"/>
      </w:r>
      <w:r w:rsidRPr="008602E1">
        <w:rPr>
          <w:rFonts w:ascii="Arial" w:hAnsi="Arial" w:cs="Arial"/>
          <w:i/>
          <w:color w:val="auto"/>
          <w:sz w:val="20"/>
          <w:szCs w:val="20"/>
        </w:rPr>
        <w:instrText xml:space="preserve"> SEQ Tabulka \* ARABIC </w:instrText>
      </w:r>
      <w:r w:rsidRPr="008602E1">
        <w:rPr>
          <w:rFonts w:ascii="Arial" w:hAnsi="Arial" w:cs="Arial"/>
          <w:i/>
          <w:color w:val="auto"/>
          <w:sz w:val="20"/>
          <w:szCs w:val="20"/>
        </w:rPr>
        <w:fldChar w:fldCharType="separate"/>
      </w:r>
      <w:r w:rsidRPr="008602E1">
        <w:rPr>
          <w:rFonts w:ascii="Arial" w:hAnsi="Arial" w:cs="Arial"/>
          <w:i/>
          <w:noProof/>
          <w:color w:val="auto"/>
          <w:sz w:val="20"/>
          <w:szCs w:val="20"/>
        </w:rPr>
        <w:t>1</w:t>
      </w:r>
      <w:r w:rsidRPr="008602E1">
        <w:rPr>
          <w:rFonts w:ascii="Arial" w:hAnsi="Arial" w:cs="Arial"/>
          <w:i/>
          <w:color w:val="auto"/>
          <w:sz w:val="20"/>
          <w:szCs w:val="20"/>
        </w:rPr>
        <w:fldChar w:fldCharType="end"/>
      </w:r>
      <w:r w:rsidRPr="008602E1">
        <w:rPr>
          <w:rFonts w:ascii="Arial" w:hAnsi="Arial" w:cs="Arial"/>
          <w:i/>
          <w:color w:val="auto"/>
          <w:sz w:val="20"/>
          <w:szCs w:val="20"/>
        </w:rPr>
        <w:t xml:space="preserve"> - délkové jednotky</w:t>
      </w:r>
    </w:p>
    <w:tbl>
      <w:tblPr>
        <w:tblStyle w:val="Mkatabulky"/>
        <w:tblW w:w="0" w:type="auto"/>
        <w:tblInd w:w="270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2012"/>
        <w:gridCol w:w="2491"/>
      </w:tblGrid>
      <w:tr w:rsidR="008602E1" w:rsidRPr="008602E1" w:rsidTr="008602E1">
        <w:trPr>
          <w:trHeight w:val="454"/>
        </w:trPr>
        <w:tc>
          <w:tcPr>
            <w:tcW w:w="2012" w:type="dxa"/>
            <w:shd w:val="clear" w:color="auto" w:fill="F2DBDB" w:themeFill="accent2" w:themeFillTint="33"/>
            <w:vAlign w:val="center"/>
          </w:tcPr>
          <w:p w:rsidR="008602E1" w:rsidRPr="008602E1" w:rsidRDefault="008602E1" w:rsidP="008602E1">
            <w:pPr>
              <w:jc w:val="center"/>
              <w:rPr>
                <w:rFonts w:ascii="Arial" w:hAnsi="Arial" w:cs="Arial"/>
                <w:lang w:eastAsia="en-US"/>
              </w:rPr>
            </w:pPr>
            <w:r w:rsidRPr="008602E1">
              <w:rPr>
                <w:rFonts w:ascii="Arial" w:hAnsi="Arial" w:cs="Arial"/>
                <w:lang w:eastAsia="en-US"/>
              </w:rPr>
              <w:t>Jedotky</w:t>
            </w:r>
          </w:p>
        </w:tc>
        <w:tc>
          <w:tcPr>
            <w:tcW w:w="2491" w:type="dxa"/>
            <w:shd w:val="clear" w:color="auto" w:fill="F2DBDB" w:themeFill="accent2" w:themeFillTint="33"/>
            <w:vAlign w:val="center"/>
          </w:tcPr>
          <w:p w:rsidR="008602E1" w:rsidRPr="008602E1" w:rsidRDefault="008602E1" w:rsidP="008602E1">
            <w:pPr>
              <w:jc w:val="center"/>
              <w:rPr>
                <w:rFonts w:ascii="Arial" w:hAnsi="Arial" w:cs="Arial"/>
                <w:lang w:eastAsia="en-US"/>
              </w:rPr>
            </w:pPr>
            <w:r w:rsidRPr="008602E1">
              <w:rPr>
                <w:rFonts w:ascii="Arial" w:hAnsi="Arial" w:cs="Arial"/>
                <w:lang w:eastAsia="en-US"/>
              </w:rPr>
              <w:t>Hodnota</w:t>
            </w:r>
          </w:p>
        </w:tc>
      </w:tr>
      <w:tr w:rsidR="008602E1" w:rsidRPr="008602E1" w:rsidTr="008602E1">
        <w:trPr>
          <w:trHeight w:val="454"/>
        </w:trPr>
        <w:tc>
          <w:tcPr>
            <w:tcW w:w="2012" w:type="dxa"/>
            <w:shd w:val="clear" w:color="auto" w:fill="F2DBDB" w:themeFill="accent2" w:themeFillTint="33"/>
            <w:vAlign w:val="center"/>
          </w:tcPr>
          <w:p w:rsidR="008602E1" w:rsidRPr="008602E1" w:rsidRDefault="008602E1" w:rsidP="008602E1">
            <w:pPr>
              <w:rPr>
                <w:rFonts w:ascii="Arial" w:hAnsi="Arial" w:cs="Arial"/>
                <w:lang w:eastAsia="en-US"/>
              </w:rPr>
            </w:pPr>
            <w:r w:rsidRPr="008602E1">
              <w:rPr>
                <w:rFonts w:ascii="Arial" w:hAnsi="Arial" w:cs="Arial"/>
                <w:lang w:eastAsia="en-US"/>
              </w:rPr>
              <w:t>metr</w:t>
            </w:r>
          </w:p>
        </w:tc>
        <w:tc>
          <w:tcPr>
            <w:tcW w:w="2491" w:type="dxa"/>
            <w:shd w:val="clear" w:color="auto" w:fill="F2DBDB" w:themeFill="accent2" w:themeFillTint="33"/>
            <w:vAlign w:val="center"/>
          </w:tcPr>
          <w:p w:rsidR="008602E1" w:rsidRPr="008602E1" w:rsidRDefault="008602E1" w:rsidP="008602E1">
            <w:pPr>
              <w:jc w:val="right"/>
              <w:rPr>
                <w:rFonts w:ascii="Arial" w:hAnsi="Arial" w:cs="Arial"/>
                <w:lang w:eastAsia="en-US"/>
              </w:rPr>
            </w:pPr>
            <w:r w:rsidRPr="008602E1">
              <w:rPr>
                <w:rFonts w:ascii="Arial" w:hAnsi="Arial" w:cs="Arial"/>
                <w:lang w:eastAsia="en-US"/>
              </w:rPr>
              <w:t>1852</w:t>
            </w:r>
          </w:p>
        </w:tc>
      </w:tr>
      <w:tr w:rsidR="008602E1" w:rsidRPr="008602E1" w:rsidTr="008602E1">
        <w:trPr>
          <w:trHeight w:val="454"/>
        </w:trPr>
        <w:tc>
          <w:tcPr>
            <w:tcW w:w="2012" w:type="dxa"/>
            <w:shd w:val="clear" w:color="auto" w:fill="F2DBDB" w:themeFill="accent2" w:themeFillTint="33"/>
            <w:vAlign w:val="center"/>
          </w:tcPr>
          <w:p w:rsidR="008602E1" w:rsidRPr="008602E1" w:rsidRDefault="008602E1" w:rsidP="008602E1">
            <w:pPr>
              <w:rPr>
                <w:rFonts w:ascii="Arial" w:hAnsi="Arial" w:cs="Arial"/>
                <w:lang w:eastAsia="en-US"/>
              </w:rPr>
            </w:pPr>
            <w:r w:rsidRPr="008602E1">
              <w:rPr>
                <w:rFonts w:ascii="Arial" w:hAnsi="Arial" w:cs="Arial"/>
                <w:lang w:eastAsia="en-US"/>
              </w:rPr>
              <w:t>kilometr</w:t>
            </w:r>
          </w:p>
        </w:tc>
        <w:tc>
          <w:tcPr>
            <w:tcW w:w="2491" w:type="dxa"/>
            <w:shd w:val="clear" w:color="auto" w:fill="F2DBDB" w:themeFill="accent2" w:themeFillTint="33"/>
            <w:vAlign w:val="center"/>
          </w:tcPr>
          <w:p w:rsidR="008602E1" w:rsidRPr="008602E1" w:rsidRDefault="008602E1" w:rsidP="008602E1">
            <w:pPr>
              <w:jc w:val="right"/>
              <w:rPr>
                <w:rFonts w:ascii="Arial" w:hAnsi="Arial" w:cs="Arial"/>
                <w:lang w:eastAsia="en-US"/>
              </w:rPr>
            </w:pPr>
            <w:r w:rsidRPr="008602E1">
              <w:rPr>
                <w:rFonts w:ascii="Arial" w:hAnsi="Arial" w:cs="Arial"/>
                <w:lang w:eastAsia="en-US"/>
              </w:rPr>
              <w:t>1,852</w:t>
            </w:r>
          </w:p>
        </w:tc>
      </w:tr>
      <w:tr w:rsidR="008602E1" w:rsidRPr="008602E1" w:rsidTr="008602E1">
        <w:trPr>
          <w:trHeight w:val="454"/>
        </w:trPr>
        <w:tc>
          <w:tcPr>
            <w:tcW w:w="2012" w:type="dxa"/>
            <w:shd w:val="clear" w:color="auto" w:fill="F2DBDB" w:themeFill="accent2" w:themeFillTint="33"/>
            <w:vAlign w:val="center"/>
          </w:tcPr>
          <w:p w:rsidR="008602E1" w:rsidRPr="008602E1" w:rsidRDefault="008602E1" w:rsidP="008602E1">
            <w:pPr>
              <w:rPr>
                <w:rFonts w:ascii="Arial" w:hAnsi="Arial" w:cs="Arial"/>
                <w:lang w:eastAsia="en-US"/>
              </w:rPr>
            </w:pPr>
            <w:r w:rsidRPr="008602E1">
              <w:rPr>
                <w:rFonts w:ascii="Arial" w:hAnsi="Arial" w:cs="Arial"/>
                <w:lang w:eastAsia="en-US"/>
              </w:rPr>
              <w:t>decimetr</w:t>
            </w:r>
          </w:p>
        </w:tc>
        <w:tc>
          <w:tcPr>
            <w:tcW w:w="2491" w:type="dxa"/>
            <w:shd w:val="clear" w:color="auto" w:fill="F2DBDB" w:themeFill="accent2" w:themeFillTint="33"/>
            <w:vAlign w:val="center"/>
          </w:tcPr>
          <w:p w:rsidR="008602E1" w:rsidRPr="008602E1" w:rsidRDefault="008602E1" w:rsidP="008602E1">
            <w:pPr>
              <w:jc w:val="right"/>
              <w:rPr>
                <w:rFonts w:ascii="Arial" w:hAnsi="Arial" w:cs="Arial"/>
                <w:lang w:eastAsia="en-US"/>
              </w:rPr>
            </w:pPr>
            <w:r w:rsidRPr="008602E1">
              <w:rPr>
                <w:rFonts w:ascii="Arial" w:hAnsi="Arial" w:cs="Arial"/>
                <w:lang w:eastAsia="en-US"/>
              </w:rPr>
              <w:t>18520</w:t>
            </w:r>
          </w:p>
        </w:tc>
      </w:tr>
      <w:tr w:rsidR="008602E1" w:rsidRPr="008602E1" w:rsidTr="008602E1">
        <w:trPr>
          <w:trHeight w:val="454"/>
        </w:trPr>
        <w:tc>
          <w:tcPr>
            <w:tcW w:w="2012" w:type="dxa"/>
            <w:shd w:val="clear" w:color="auto" w:fill="F2DBDB" w:themeFill="accent2" w:themeFillTint="33"/>
            <w:vAlign w:val="center"/>
          </w:tcPr>
          <w:p w:rsidR="008602E1" w:rsidRPr="008602E1" w:rsidRDefault="008602E1" w:rsidP="008602E1">
            <w:pPr>
              <w:rPr>
                <w:rFonts w:ascii="Arial" w:hAnsi="Arial" w:cs="Arial"/>
                <w:lang w:eastAsia="en-US"/>
              </w:rPr>
            </w:pPr>
            <w:r w:rsidRPr="008602E1">
              <w:rPr>
                <w:rFonts w:ascii="Arial" w:hAnsi="Arial" w:cs="Arial"/>
                <w:lang w:eastAsia="en-US"/>
              </w:rPr>
              <w:t>centimetr</w:t>
            </w:r>
          </w:p>
        </w:tc>
        <w:tc>
          <w:tcPr>
            <w:tcW w:w="2491" w:type="dxa"/>
            <w:shd w:val="clear" w:color="auto" w:fill="F2DBDB" w:themeFill="accent2" w:themeFillTint="33"/>
            <w:vAlign w:val="center"/>
          </w:tcPr>
          <w:p w:rsidR="008602E1" w:rsidRPr="008602E1" w:rsidRDefault="008602E1" w:rsidP="008602E1">
            <w:pPr>
              <w:jc w:val="right"/>
              <w:rPr>
                <w:rFonts w:ascii="Arial" w:hAnsi="Arial" w:cs="Arial"/>
                <w:lang w:eastAsia="en-US"/>
              </w:rPr>
            </w:pPr>
            <w:r w:rsidRPr="008602E1">
              <w:rPr>
                <w:rFonts w:ascii="Arial" w:hAnsi="Arial" w:cs="Arial"/>
                <w:lang w:eastAsia="en-US"/>
              </w:rPr>
              <w:t>185200</w:t>
            </w:r>
          </w:p>
        </w:tc>
      </w:tr>
      <w:tr w:rsidR="008602E1" w:rsidRPr="008602E1" w:rsidTr="008602E1">
        <w:trPr>
          <w:trHeight w:val="454"/>
        </w:trPr>
        <w:tc>
          <w:tcPr>
            <w:tcW w:w="2012" w:type="dxa"/>
            <w:shd w:val="clear" w:color="auto" w:fill="F2DBDB" w:themeFill="accent2" w:themeFillTint="33"/>
            <w:vAlign w:val="center"/>
          </w:tcPr>
          <w:p w:rsidR="008602E1" w:rsidRPr="008602E1" w:rsidRDefault="008602E1" w:rsidP="008602E1">
            <w:pPr>
              <w:rPr>
                <w:rFonts w:ascii="Arial" w:hAnsi="Arial" w:cs="Arial"/>
                <w:lang w:eastAsia="en-US"/>
              </w:rPr>
            </w:pPr>
            <w:r w:rsidRPr="008602E1">
              <w:rPr>
                <w:rFonts w:ascii="Arial" w:hAnsi="Arial" w:cs="Arial"/>
                <w:lang w:eastAsia="en-US"/>
              </w:rPr>
              <w:t>milimetr</w:t>
            </w:r>
          </w:p>
        </w:tc>
        <w:tc>
          <w:tcPr>
            <w:tcW w:w="2491" w:type="dxa"/>
            <w:shd w:val="clear" w:color="auto" w:fill="F2DBDB" w:themeFill="accent2" w:themeFillTint="33"/>
            <w:vAlign w:val="center"/>
          </w:tcPr>
          <w:p w:rsidR="008602E1" w:rsidRPr="008602E1" w:rsidRDefault="008602E1" w:rsidP="008602E1">
            <w:pPr>
              <w:jc w:val="right"/>
              <w:rPr>
                <w:rFonts w:ascii="Arial" w:hAnsi="Arial" w:cs="Arial"/>
                <w:lang w:eastAsia="en-US"/>
              </w:rPr>
            </w:pPr>
            <w:r w:rsidRPr="008602E1">
              <w:rPr>
                <w:rFonts w:ascii="Arial" w:hAnsi="Arial" w:cs="Arial"/>
                <w:lang w:eastAsia="en-US"/>
              </w:rPr>
              <w:t>1852000</w:t>
            </w:r>
          </w:p>
        </w:tc>
      </w:tr>
      <w:tr w:rsidR="008602E1" w:rsidRPr="008602E1" w:rsidTr="008602E1">
        <w:trPr>
          <w:trHeight w:val="454"/>
        </w:trPr>
        <w:tc>
          <w:tcPr>
            <w:tcW w:w="2012" w:type="dxa"/>
            <w:shd w:val="clear" w:color="auto" w:fill="F2DBDB" w:themeFill="accent2" w:themeFillTint="33"/>
            <w:vAlign w:val="center"/>
          </w:tcPr>
          <w:p w:rsidR="008602E1" w:rsidRPr="008602E1" w:rsidRDefault="008602E1" w:rsidP="008602E1">
            <w:pPr>
              <w:rPr>
                <w:rFonts w:ascii="Arial" w:hAnsi="Arial" w:cs="Arial"/>
                <w:lang w:eastAsia="en-US"/>
              </w:rPr>
            </w:pPr>
            <w:r w:rsidRPr="008602E1">
              <w:rPr>
                <w:rFonts w:ascii="Arial" w:hAnsi="Arial" w:cs="Arial"/>
                <w:lang w:eastAsia="en-US"/>
              </w:rPr>
              <w:t>míle</w:t>
            </w:r>
          </w:p>
        </w:tc>
        <w:tc>
          <w:tcPr>
            <w:tcW w:w="2491" w:type="dxa"/>
            <w:shd w:val="clear" w:color="auto" w:fill="F2DBDB" w:themeFill="accent2" w:themeFillTint="33"/>
            <w:vAlign w:val="center"/>
          </w:tcPr>
          <w:p w:rsidR="008602E1" w:rsidRPr="008602E1" w:rsidRDefault="008602E1" w:rsidP="008602E1">
            <w:pPr>
              <w:jc w:val="right"/>
              <w:rPr>
                <w:rFonts w:ascii="Arial" w:hAnsi="Arial" w:cs="Arial"/>
                <w:lang w:eastAsia="en-US"/>
              </w:rPr>
            </w:pPr>
            <w:r w:rsidRPr="008602E1">
              <w:rPr>
                <w:rFonts w:ascii="Arial" w:hAnsi="Arial" w:cs="Arial"/>
                <w:lang w:eastAsia="en-US"/>
              </w:rPr>
              <w:t>1,1507794480235</w:t>
            </w:r>
          </w:p>
        </w:tc>
      </w:tr>
      <w:tr w:rsidR="008602E1" w:rsidRPr="008602E1" w:rsidTr="008602E1">
        <w:trPr>
          <w:trHeight w:val="454"/>
        </w:trPr>
        <w:tc>
          <w:tcPr>
            <w:tcW w:w="2012" w:type="dxa"/>
            <w:shd w:val="clear" w:color="auto" w:fill="F2DBDB" w:themeFill="accent2" w:themeFillTint="33"/>
            <w:vAlign w:val="center"/>
          </w:tcPr>
          <w:p w:rsidR="008602E1" w:rsidRPr="008602E1" w:rsidRDefault="008602E1" w:rsidP="008602E1">
            <w:pPr>
              <w:rPr>
                <w:rFonts w:ascii="Arial" w:hAnsi="Arial" w:cs="Arial"/>
                <w:lang w:eastAsia="en-US"/>
              </w:rPr>
            </w:pPr>
            <w:r w:rsidRPr="008602E1">
              <w:rPr>
                <w:rFonts w:ascii="Arial" w:hAnsi="Arial" w:cs="Arial"/>
                <w:lang w:eastAsia="en-US"/>
              </w:rPr>
              <w:t>námořní míle</w:t>
            </w:r>
          </w:p>
        </w:tc>
        <w:tc>
          <w:tcPr>
            <w:tcW w:w="2491" w:type="dxa"/>
            <w:shd w:val="clear" w:color="auto" w:fill="F2DBDB" w:themeFill="accent2" w:themeFillTint="33"/>
            <w:vAlign w:val="center"/>
          </w:tcPr>
          <w:p w:rsidR="008602E1" w:rsidRPr="008602E1" w:rsidRDefault="008602E1" w:rsidP="008602E1">
            <w:pPr>
              <w:jc w:val="right"/>
              <w:rPr>
                <w:rFonts w:ascii="Arial" w:hAnsi="Arial" w:cs="Arial"/>
                <w:lang w:eastAsia="en-US"/>
              </w:rPr>
            </w:pPr>
            <w:r w:rsidRPr="008602E1">
              <w:rPr>
                <w:rFonts w:ascii="Arial" w:hAnsi="Arial" w:cs="Arial"/>
                <w:lang w:eastAsia="en-US"/>
              </w:rPr>
              <w:t>1</w:t>
            </w:r>
          </w:p>
        </w:tc>
      </w:tr>
      <w:tr w:rsidR="008602E1" w:rsidRPr="008602E1" w:rsidTr="008602E1">
        <w:trPr>
          <w:trHeight w:val="454"/>
        </w:trPr>
        <w:tc>
          <w:tcPr>
            <w:tcW w:w="2012" w:type="dxa"/>
            <w:shd w:val="clear" w:color="auto" w:fill="F2DBDB" w:themeFill="accent2" w:themeFillTint="33"/>
            <w:vAlign w:val="center"/>
          </w:tcPr>
          <w:p w:rsidR="008602E1" w:rsidRPr="008602E1" w:rsidRDefault="008602E1" w:rsidP="008602E1">
            <w:pPr>
              <w:rPr>
                <w:rFonts w:ascii="Arial" w:hAnsi="Arial" w:cs="Arial"/>
                <w:lang w:eastAsia="en-US"/>
              </w:rPr>
            </w:pPr>
            <w:r w:rsidRPr="008602E1">
              <w:rPr>
                <w:rFonts w:ascii="Arial" w:hAnsi="Arial" w:cs="Arial"/>
                <w:lang w:eastAsia="en-US"/>
              </w:rPr>
              <w:t>yard</w:t>
            </w:r>
          </w:p>
        </w:tc>
        <w:tc>
          <w:tcPr>
            <w:tcW w:w="2491" w:type="dxa"/>
            <w:shd w:val="clear" w:color="auto" w:fill="F2DBDB" w:themeFill="accent2" w:themeFillTint="33"/>
            <w:vAlign w:val="center"/>
          </w:tcPr>
          <w:p w:rsidR="008602E1" w:rsidRPr="008602E1" w:rsidRDefault="008602E1" w:rsidP="008602E1">
            <w:pPr>
              <w:jc w:val="right"/>
              <w:rPr>
                <w:rFonts w:ascii="Arial" w:hAnsi="Arial" w:cs="Arial"/>
                <w:lang w:eastAsia="en-US"/>
              </w:rPr>
            </w:pPr>
            <w:r w:rsidRPr="008602E1">
              <w:rPr>
                <w:rFonts w:ascii="Arial" w:hAnsi="Arial" w:cs="Arial"/>
                <w:lang w:eastAsia="en-US"/>
              </w:rPr>
              <w:t>2025,3718285214</w:t>
            </w:r>
          </w:p>
        </w:tc>
      </w:tr>
      <w:tr w:rsidR="008602E1" w:rsidRPr="008602E1" w:rsidTr="008602E1">
        <w:trPr>
          <w:trHeight w:val="454"/>
        </w:trPr>
        <w:tc>
          <w:tcPr>
            <w:tcW w:w="2012" w:type="dxa"/>
            <w:shd w:val="clear" w:color="auto" w:fill="F2DBDB" w:themeFill="accent2" w:themeFillTint="33"/>
            <w:vAlign w:val="center"/>
          </w:tcPr>
          <w:p w:rsidR="008602E1" w:rsidRPr="008602E1" w:rsidRDefault="008602E1" w:rsidP="008602E1">
            <w:pPr>
              <w:rPr>
                <w:rFonts w:ascii="Arial" w:hAnsi="Arial" w:cs="Arial"/>
                <w:lang w:eastAsia="en-US"/>
              </w:rPr>
            </w:pPr>
            <w:r w:rsidRPr="008602E1">
              <w:rPr>
                <w:rFonts w:ascii="Arial" w:hAnsi="Arial" w:cs="Arial"/>
                <w:lang w:eastAsia="en-US"/>
              </w:rPr>
              <w:t>stopa</w:t>
            </w:r>
          </w:p>
        </w:tc>
        <w:tc>
          <w:tcPr>
            <w:tcW w:w="2491" w:type="dxa"/>
            <w:shd w:val="clear" w:color="auto" w:fill="F2DBDB" w:themeFill="accent2" w:themeFillTint="33"/>
            <w:vAlign w:val="center"/>
          </w:tcPr>
          <w:p w:rsidR="008602E1" w:rsidRPr="008602E1" w:rsidRDefault="008602E1" w:rsidP="008602E1">
            <w:pPr>
              <w:jc w:val="right"/>
              <w:rPr>
                <w:rFonts w:ascii="Arial" w:hAnsi="Arial" w:cs="Arial"/>
                <w:lang w:eastAsia="en-US"/>
              </w:rPr>
            </w:pPr>
            <w:r w:rsidRPr="008602E1">
              <w:rPr>
                <w:rFonts w:ascii="Arial" w:hAnsi="Arial" w:cs="Arial"/>
                <w:lang w:eastAsia="en-US"/>
              </w:rPr>
              <w:t>6076,1154855643</w:t>
            </w:r>
          </w:p>
        </w:tc>
      </w:tr>
      <w:tr w:rsidR="008602E1" w:rsidRPr="008602E1" w:rsidTr="008602E1">
        <w:trPr>
          <w:trHeight w:val="454"/>
        </w:trPr>
        <w:tc>
          <w:tcPr>
            <w:tcW w:w="2012" w:type="dxa"/>
            <w:shd w:val="clear" w:color="auto" w:fill="F2DBDB" w:themeFill="accent2" w:themeFillTint="33"/>
            <w:vAlign w:val="center"/>
          </w:tcPr>
          <w:p w:rsidR="008602E1" w:rsidRPr="008602E1" w:rsidRDefault="008602E1" w:rsidP="008602E1">
            <w:pPr>
              <w:rPr>
                <w:rFonts w:ascii="Arial" w:hAnsi="Arial" w:cs="Arial"/>
                <w:lang w:eastAsia="en-US"/>
              </w:rPr>
            </w:pPr>
            <w:r w:rsidRPr="008602E1">
              <w:rPr>
                <w:rFonts w:ascii="Arial" w:hAnsi="Arial" w:cs="Arial"/>
                <w:lang w:eastAsia="en-US"/>
              </w:rPr>
              <w:t>palec</w:t>
            </w:r>
          </w:p>
        </w:tc>
        <w:tc>
          <w:tcPr>
            <w:tcW w:w="2491" w:type="dxa"/>
            <w:shd w:val="clear" w:color="auto" w:fill="F2DBDB" w:themeFill="accent2" w:themeFillTint="33"/>
            <w:vAlign w:val="center"/>
          </w:tcPr>
          <w:p w:rsidR="008602E1" w:rsidRPr="008602E1" w:rsidRDefault="008602E1" w:rsidP="008602E1">
            <w:pPr>
              <w:jc w:val="right"/>
              <w:rPr>
                <w:rFonts w:ascii="Arial" w:hAnsi="Arial" w:cs="Arial"/>
                <w:lang w:eastAsia="en-US"/>
              </w:rPr>
            </w:pPr>
            <w:r w:rsidRPr="008602E1">
              <w:rPr>
                <w:rFonts w:ascii="Arial" w:hAnsi="Arial" w:cs="Arial"/>
                <w:lang w:eastAsia="en-US"/>
              </w:rPr>
              <w:t>72913,385826772</w:t>
            </w:r>
          </w:p>
        </w:tc>
      </w:tr>
      <w:tr w:rsidR="008602E1" w:rsidRPr="008602E1" w:rsidTr="008602E1">
        <w:trPr>
          <w:trHeight w:val="454"/>
        </w:trPr>
        <w:tc>
          <w:tcPr>
            <w:tcW w:w="2012" w:type="dxa"/>
            <w:shd w:val="clear" w:color="auto" w:fill="F2DBDB" w:themeFill="accent2" w:themeFillTint="33"/>
            <w:vAlign w:val="center"/>
          </w:tcPr>
          <w:p w:rsidR="008602E1" w:rsidRPr="008602E1" w:rsidRDefault="008602E1" w:rsidP="008602E1">
            <w:pPr>
              <w:rPr>
                <w:rFonts w:ascii="Arial" w:hAnsi="Arial" w:cs="Arial"/>
                <w:lang w:eastAsia="en-US"/>
              </w:rPr>
            </w:pPr>
            <w:r w:rsidRPr="008602E1">
              <w:rPr>
                <w:rFonts w:ascii="Arial" w:hAnsi="Arial" w:cs="Arial"/>
                <w:lang w:eastAsia="en-US"/>
              </w:rPr>
              <w:t>světelný rok</w:t>
            </w:r>
          </w:p>
        </w:tc>
        <w:tc>
          <w:tcPr>
            <w:tcW w:w="2491" w:type="dxa"/>
            <w:shd w:val="clear" w:color="auto" w:fill="F2DBDB" w:themeFill="accent2" w:themeFillTint="33"/>
            <w:vAlign w:val="center"/>
          </w:tcPr>
          <w:p w:rsidR="008602E1" w:rsidRPr="008602E1" w:rsidRDefault="008602E1" w:rsidP="008602E1">
            <w:pPr>
              <w:keepNext/>
              <w:jc w:val="right"/>
              <w:rPr>
                <w:rFonts w:ascii="Arial" w:hAnsi="Arial" w:cs="Arial"/>
                <w:lang w:eastAsia="en-US"/>
              </w:rPr>
            </w:pPr>
            <w:r w:rsidRPr="008602E1">
              <w:rPr>
                <w:rFonts w:ascii="Arial" w:hAnsi="Arial" w:cs="Arial"/>
                <w:lang w:eastAsia="en-US"/>
              </w:rPr>
              <w:t>1,95761323397 x 10</w:t>
            </w:r>
            <w:r w:rsidRPr="008602E1">
              <w:rPr>
                <w:rFonts w:ascii="Arial" w:hAnsi="Arial" w:cs="Arial"/>
                <w:vertAlign w:val="superscript"/>
                <w:lang w:eastAsia="en-US"/>
              </w:rPr>
              <w:t>-13</w:t>
            </w:r>
          </w:p>
        </w:tc>
      </w:tr>
    </w:tbl>
    <w:p w:rsidR="00E012FE" w:rsidRPr="00E012FE" w:rsidRDefault="00E012FE" w:rsidP="008602E1">
      <w:pPr>
        <w:pStyle w:val="Titulek"/>
        <w:rPr>
          <w:lang w:eastAsia="en-US"/>
        </w:rPr>
      </w:pPr>
    </w:p>
    <w:sectPr w:rsidR="00E012FE" w:rsidRPr="00E012FE" w:rsidSect="00BD0A72">
      <w:headerReference w:type="default" r:id="rId11"/>
      <w:footerReference w:type="default" r:id="rId12"/>
      <w:pgSz w:w="11906" w:h="16838"/>
      <w:pgMar w:top="993" w:right="991" w:bottom="1135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67A" w:rsidRDefault="00AA167A" w:rsidP="007208B6">
      <w:pPr>
        <w:spacing w:after="0" w:line="240" w:lineRule="auto"/>
      </w:pPr>
      <w:r>
        <w:separator/>
      </w:r>
    </w:p>
  </w:endnote>
  <w:endnote w:type="continuationSeparator" w:id="0">
    <w:p w:rsidR="00AA167A" w:rsidRDefault="00AA167A" w:rsidP="00720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A72" w:rsidRDefault="00BD0A72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Karel Novák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036F7C" w:rsidRPr="00036F7C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</w:p>
  <w:p w:rsidR="00BD0A72" w:rsidRDefault="00BD0A7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67A" w:rsidRDefault="00AA167A" w:rsidP="007208B6">
      <w:pPr>
        <w:spacing w:after="0" w:line="240" w:lineRule="auto"/>
      </w:pPr>
      <w:r>
        <w:separator/>
      </w:r>
    </w:p>
  </w:footnote>
  <w:footnote w:type="continuationSeparator" w:id="0">
    <w:p w:rsidR="00AA167A" w:rsidRDefault="00AA167A" w:rsidP="00720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C9FD7B49CFB44187AF9757039056D4E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208B6" w:rsidRDefault="007208B6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Záření, radiace a hluk</w:t>
        </w:r>
      </w:p>
    </w:sdtContent>
  </w:sdt>
  <w:p w:rsidR="007208B6" w:rsidRDefault="007208B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87"/>
    <w:rsid w:val="00036F7C"/>
    <w:rsid w:val="000B4F2A"/>
    <w:rsid w:val="000C7187"/>
    <w:rsid w:val="00237448"/>
    <w:rsid w:val="00257ED9"/>
    <w:rsid w:val="00356392"/>
    <w:rsid w:val="0037316E"/>
    <w:rsid w:val="004D41EA"/>
    <w:rsid w:val="00530574"/>
    <w:rsid w:val="005C4754"/>
    <w:rsid w:val="00651C83"/>
    <w:rsid w:val="007208B6"/>
    <w:rsid w:val="007F48B6"/>
    <w:rsid w:val="0080419E"/>
    <w:rsid w:val="008602E1"/>
    <w:rsid w:val="008D0347"/>
    <w:rsid w:val="00AA167A"/>
    <w:rsid w:val="00BD0A72"/>
    <w:rsid w:val="00E012FE"/>
    <w:rsid w:val="00E0383B"/>
    <w:rsid w:val="00F8135D"/>
    <w:rsid w:val="00F817AD"/>
    <w:rsid w:val="00FA09DB"/>
    <w:rsid w:val="00FB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0383B"/>
    <w:pPr>
      <w:keepNext/>
      <w:keepLines/>
      <w:pBdr>
        <w:bottom w:val="single" w:sz="4" w:space="1" w:color="auto"/>
      </w:pBdr>
      <w:spacing w:before="480" w:after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1C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C71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C7187"/>
    <w:pPr>
      <w:spacing w:after="0" w:line="240" w:lineRule="auto"/>
    </w:pPr>
    <w:rPr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51C83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C718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C71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C71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0383B"/>
    <w:rPr>
      <w:rFonts w:asciiTheme="majorHAnsi" w:eastAsiaTheme="majorEastAsia" w:hAnsiTheme="majorHAnsi" w:cstheme="majorBidi"/>
      <w:b/>
      <w:bCs/>
      <w:color w:val="365F91" w:themeColor="accent1" w:themeShade="BF"/>
      <w:sz w:val="48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7F4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7F48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754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0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08B6"/>
    <w:rPr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0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08B6"/>
    <w:rPr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BD0A7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Mkatabulky">
    <w:name w:val="Table Grid"/>
    <w:basedOn w:val="Normlntabulka"/>
    <w:uiPriority w:val="59"/>
    <w:rsid w:val="00E01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1">
    <w:name w:val="toc 1"/>
    <w:basedOn w:val="Normln"/>
    <w:next w:val="Normln"/>
    <w:autoRedefine/>
    <w:uiPriority w:val="39"/>
    <w:unhideWhenUsed/>
    <w:qFormat/>
    <w:rsid w:val="00036F7C"/>
    <w:pPr>
      <w:spacing w:after="100"/>
    </w:pPr>
    <w:rPr>
      <w:rFonts w:ascii="Times" w:hAnsi="Times"/>
      <w:color w:val="632423" w:themeColor="accent2" w:themeShade="80"/>
      <w:sz w:val="32"/>
    </w:rPr>
  </w:style>
  <w:style w:type="character" w:styleId="Hypertextovodkaz">
    <w:name w:val="Hyperlink"/>
    <w:basedOn w:val="Standardnpsmoodstavce"/>
    <w:uiPriority w:val="99"/>
    <w:unhideWhenUsed/>
    <w:rsid w:val="00651C83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6F7C"/>
    <w:pPr>
      <w:pBdr>
        <w:bottom w:val="none" w:sz="0" w:space="0" w:color="auto"/>
      </w:pBdr>
      <w:spacing w:after="0"/>
      <w:outlineLvl w:val="9"/>
    </w:pPr>
    <w:rPr>
      <w:sz w:val="28"/>
    </w:rPr>
  </w:style>
  <w:style w:type="paragraph" w:styleId="Obsah2">
    <w:name w:val="toc 2"/>
    <w:basedOn w:val="Normln"/>
    <w:next w:val="Normln"/>
    <w:autoRedefine/>
    <w:uiPriority w:val="39"/>
    <w:unhideWhenUsed/>
    <w:rsid w:val="00036F7C"/>
    <w:pPr>
      <w:spacing w:after="100"/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0383B"/>
    <w:pPr>
      <w:keepNext/>
      <w:keepLines/>
      <w:pBdr>
        <w:bottom w:val="single" w:sz="4" w:space="1" w:color="auto"/>
      </w:pBdr>
      <w:spacing w:before="480" w:after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1C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C71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C7187"/>
    <w:pPr>
      <w:spacing w:after="0" w:line="240" w:lineRule="auto"/>
    </w:pPr>
    <w:rPr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51C83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C718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C71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C71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0383B"/>
    <w:rPr>
      <w:rFonts w:asciiTheme="majorHAnsi" w:eastAsiaTheme="majorEastAsia" w:hAnsiTheme="majorHAnsi" w:cstheme="majorBidi"/>
      <w:b/>
      <w:bCs/>
      <w:color w:val="365F91" w:themeColor="accent1" w:themeShade="BF"/>
      <w:sz w:val="48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7F4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7F48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754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0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08B6"/>
    <w:rPr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0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08B6"/>
    <w:rPr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BD0A7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Mkatabulky">
    <w:name w:val="Table Grid"/>
    <w:basedOn w:val="Normlntabulka"/>
    <w:uiPriority w:val="59"/>
    <w:rsid w:val="00E01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1">
    <w:name w:val="toc 1"/>
    <w:basedOn w:val="Normln"/>
    <w:next w:val="Normln"/>
    <w:autoRedefine/>
    <w:uiPriority w:val="39"/>
    <w:unhideWhenUsed/>
    <w:qFormat/>
    <w:rsid w:val="00036F7C"/>
    <w:pPr>
      <w:spacing w:after="100"/>
    </w:pPr>
    <w:rPr>
      <w:rFonts w:ascii="Times" w:hAnsi="Times"/>
      <w:color w:val="632423" w:themeColor="accent2" w:themeShade="80"/>
      <w:sz w:val="32"/>
    </w:rPr>
  </w:style>
  <w:style w:type="character" w:styleId="Hypertextovodkaz">
    <w:name w:val="Hyperlink"/>
    <w:basedOn w:val="Standardnpsmoodstavce"/>
    <w:uiPriority w:val="99"/>
    <w:unhideWhenUsed/>
    <w:rsid w:val="00651C83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6F7C"/>
    <w:pPr>
      <w:pBdr>
        <w:bottom w:val="none" w:sz="0" w:space="0" w:color="auto"/>
      </w:pBdr>
      <w:spacing w:after="0"/>
      <w:outlineLvl w:val="9"/>
    </w:pPr>
    <w:rPr>
      <w:sz w:val="28"/>
    </w:rPr>
  </w:style>
  <w:style w:type="paragraph" w:styleId="Obsah2">
    <w:name w:val="toc 2"/>
    <w:basedOn w:val="Normln"/>
    <w:next w:val="Normln"/>
    <w:autoRedefine/>
    <w:uiPriority w:val="39"/>
    <w:unhideWhenUsed/>
    <w:rsid w:val="00036F7C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9FD7B49CFB44187AF9757039056D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DD770-B307-40E1-8077-B1A665F1C5DF}"/>
      </w:docPartPr>
      <w:docPartBody>
        <w:p w:rsidR="00F9735A" w:rsidRDefault="008B75A7" w:rsidP="008B75A7">
          <w:pPr>
            <w:pStyle w:val="C9FD7B49CFB44187AF9757039056D4E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A7"/>
    <w:rsid w:val="002A7E9A"/>
    <w:rsid w:val="008B75A7"/>
    <w:rsid w:val="00DB785D"/>
    <w:rsid w:val="00F95E5B"/>
    <w:rsid w:val="00F9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9FD7B49CFB44187AF9757039056D4E7">
    <w:name w:val="C9FD7B49CFB44187AF9757039056D4E7"/>
    <w:rsid w:val="008B75A7"/>
  </w:style>
  <w:style w:type="paragraph" w:customStyle="1" w:styleId="5699F2EB5B80446A840A1463AE5431C8">
    <w:name w:val="5699F2EB5B80446A840A1463AE5431C8"/>
    <w:rsid w:val="008B75A7"/>
  </w:style>
  <w:style w:type="paragraph" w:customStyle="1" w:styleId="A14A033CD94D4ED2957387F84526699F">
    <w:name w:val="A14A033CD94D4ED2957387F84526699F"/>
    <w:rsid w:val="008B75A7"/>
  </w:style>
  <w:style w:type="paragraph" w:customStyle="1" w:styleId="73E493825C784542901DBAD20700EE44">
    <w:name w:val="73E493825C784542901DBAD20700EE44"/>
    <w:rsid w:val="008B75A7"/>
  </w:style>
  <w:style w:type="paragraph" w:customStyle="1" w:styleId="784A81B8288343A2807561B9C3237659">
    <w:name w:val="784A81B8288343A2807561B9C3237659"/>
    <w:rsid w:val="00F9735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9FD7B49CFB44187AF9757039056D4E7">
    <w:name w:val="C9FD7B49CFB44187AF9757039056D4E7"/>
    <w:rsid w:val="008B75A7"/>
  </w:style>
  <w:style w:type="paragraph" w:customStyle="1" w:styleId="5699F2EB5B80446A840A1463AE5431C8">
    <w:name w:val="5699F2EB5B80446A840A1463AE5431C8"/>
    <w:rsid w:val="008B75A7"/>
  </w:style>
  <w:style w:type="paragraph" w:customStyle="1" w:styleId="A14A033CD94D4ED2957387F84526699F">
    <w:name w:val="A14A033CD94D4ED2957387F84526699F"/>
    <w:rsid w:val="008B75A7"/>
  </w:style>
  <w:style w:type="paragraph" w:customStyle="1" w:styleId="73E493825C784542901DBAD20700EE44">
    <w:name w:val="73E493825C784542901DBAD20700EE44"/>
    <w:rsid w:val="008B75A7"/>
  </w:style>
  <w:style w:type="paragraph" w:customStyle="1" w:styleId="784A81B8288343A2807561B9C3237659">
    <w:name w:val="784A81B8288343A2807561B9C3237659"/>
    <w:rsid w:val="00F973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5AA00-AA81-49EB-88C6-2E75D36FA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867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Záření, radiace a hluk</vt:lpstr>
    </vt:vector>
  </TitlesOfParts>
  <Company/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Záření, radiace a hluk</dc:title>
  <dc:creator>Mika Petr</dc:creator>
  <cp:lastModifiedBy>Mika Petr</cp:lastModifiedBy>
  <cp:revision>7</cp:revision>
  <dcterms:created xsi:type="dcterms:W3CDTF">2014-04-16T12:20:00Z</dcterms:created>
  <dcterms:modified xsi:type="dcterms:W3CDTF">2014-04-29T08:17:00Z</dcterms:modified>
</cp:coreProperties>
</file>